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6344" w14:textId="77777777" w:rsidR="0002002E" w:rsidRDefault="0002002E" w:rsidP="0002002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14:paraId="3B29EDD6" w14:textId="77777777" w:rsidR="0002002E" w:rsidRDefault="0002002E" w:rsidP="0002002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14:paraId="5296052E" w14:textId="7C76DF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02002E">
        <w:rPr>
          <w:rFonts w:asciiTheme="majorHAnsi" w:hAnsiTheme="majorHAnsi" w:cs="Times New Roman"/>
          <w:b/>
          <w:bCs/>
          <w:sz w:val="28"/>
          <w:szCs w:val="28"/>
        </w:rPr>
        <w:t>Fehrer</w:t>
      </w:r>
      <w:proofErr w:type="spellEnd"/>
      <w:r w:rsidRPr="0002002E">
        <w:rPr>
          <w:rFonts w:asciiTheme="majorHAnsi" w:hAnsiTheme="majorHAnsi" w:cs="Times New Roman"/>
          <w:b/>
          <w:bCs/>
          <w:sz w:val="28"/>
          <w:szCs w:val="28"/>
        </w:rPr>
        <w:t xml:space="preserve"> Bohemia s.r.o.</w:t>
      </w:r>
      <w:r w:rsidRPr="0002002E">
        <w:rPr>
          <w:rFonts w:asciiTheme="majorHAnsi" w:hAnsiTheme="majorHAnsi" w:cs="Times New Roman"/>
          <w:b/>
          <w:bCs/>
          <w:sz w:val="28"/>
          <w:szCs w:val="28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se sídlem </w:t>
      </w:r>
      <w:r>
        <w:rPr>
          <w:rFonts w:asciiTheme="majorHAnsi" w:hAnsiTheme="majorHAnsi" w:cs="Times New Roman"/>
          <w:sz w:val="24"/>
          <w:szCs w:val="24"/>
        </w:rPr>
        <w:t>Litoměřická 86, Dubice, 470 01 Česká Lípa</w:t>
      </w:r>
      <w:r>
        <w:rPr>
          <w:rFonts w:asciiTheme="majorHAnsi" w:hAnsiTheme="majorHAnsi" w:cs="Times New Roman"/>
          <w:sz w:val="24"/>
          <w:szCs w:val="24"/>
        </w:rPr>
        <w:t xml:space="preserve">, IČ: </w:t>
      </w:r>
      <w:r>
        <w:rPr>
          <w:rFonts w:asciiTheme="majorHAnsi" w:hAnsiTheme="majorHAnsi" w:cs="Times New Roman"/>
          <w:sz w:val="24"/>
          <w:szCs w:val="24"/>
        </w:rPr>
        <w:t>45280479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48ACF78" w14:textId="0003154D" w:rsidR="006007BA" w:rsidRDefault="006007BA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Areál společnosti je vymezen na severu řekou Ploučnice, na východě areálem společnosti </w:t>
      </w:r>
      <w:proofErr w:type="spellStart"/>
      <w:r>
        <w:rPr>
          <w:rFonts w:asciiTheme="majorHAnsi" w:hAnsiTheme="majorHAnsi" w:cs="Times New Roman"/>
          <w:sz w:val="24"/>
          <w:szCs w:val="24"/>
        </w:rPr>
        <w:t>Clarios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Česká Lípa spol. s r.o., na jihu místní komunikací ul. Litoměřická a na západě zatravněnou plochou, na níž se nachází vodní plocha Prokůpek. Hranice objektu tvoří oplocení.</w:t>
      </w:r>
    </w:p>
    <w:p w14:paraId="605198C4" w14:textId="5DA4C19B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Vzhledem k předpokládaným dosahům následků závažné havárie se v okolí areálu nevyskytují žádné významné objekty a poměry, které by zhoršily její následky.</w:t>
      </w:r>
    </w:p>
    <w:p w14:paraId="355E75FD" w14:textId="77777777" w:rsidR="0002002E" w:rsidRDefault="0002002E" w:rsidP="0002002E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03E13C23" w14:textId="77777777" w:rsidR="0002002E" w:rsidRDefault="0002002E" w:rsidP="0002002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14:paraId="72CCBA4B" w14:textId="77777777" w:rsidR="0002002E" w:rsidRDefault="0002002E" w:rsidP="0002002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</w:t>
      </w:r>
      <w:proofErr w:type="gramStart"/>
      <w:r>
        <w:rPr>
          <w:rFonts w:asciiTheme="majorHAnsi" w:hAnsiTheme="majorHAnsi" w:cs="Times New Roman"/>
          <w:sz w:val="24"/>
          <w:szCs w:val="24"/>
        </w:rPr>
        <w:t>2a</w:t>
      </w:r>
      <w:proofErr w:type="gramEnd"/>
      <w:r>
        <w:rPr>
          <w:rFonts w:asciiTheme="majorHAnsi" w:hAnsiTheme="majorHAnsi" w:cs="Times New Roman"/>
          <w:sz w:val="24"/>
          <w:szCs w:val="24"/>
        </w:rPr>
        <w:t>, Liberec,</w:t>
      </w:r>
    </w:p>
    <w:p w14:paraId="3313B633" w14:textId="5CA290A5" w:rsidR="0002002E" w:rsidRDefault="0002002E" w:rsidP="0002002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</w:t>
      </w:r>
      <w:r w:rsidR="006007BA">
        <w:rPr>
          <w:rFonts w:asciiTheme="majorHAnsi" w:hAnsiTheme="majorHAnsi" w:cs="Times New Roman"/>
          <w:sz w:val="24"/>
          <w:szCs w:val="24"/>
        </w:rPr>
        <w:t>, + ÚO Česká Lípa</w:t>
      </w:r>
    </w:p>
    <w:p w14:paraId="16418C2F" w14:textId="6F6DC8B2" w:rsidR="0002002E" w:rsidRDefault="0002002E" w:rsidP="0002002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  <w:r w:rsidR="006007BA">
        <w:rPr>
          <w:rFonts w:asciiTheme="majorHAnsi" w:hAnsiTheme="majorHAnsi" w:cs="Times New Roman"/>
          <w:sz w:val="24"/>
          <w:szCs w:val="24"/>
        </w:rPr>
        <w:t>, + ÚP Česká Lípa</w:t>
      </w:r>
    </w:p>
    <w:p w14:paraId="6BABAFC1" w14:textId="77777777" w:rsidR="0002002E" w:rsidRDefault="0002002E" w:rsidP="0002002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</w:p>
    <w:p w14:paraId="3482604C" w14:textId="6D22B503" w:rsidR="0002002E" w:rsidRDefault="002074EA" w:rsidP="0002002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MÚ Česká Lípa</w:t>
      </w:r>
    </w:p>
    <w:p w14:paraId="08B50DB8" w14:textId="77777777" w:rsidR="0002002E" w:rsidRDefault="0002002E" w:rsidP="0002002E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4DBF19C" w14:textId="77777777" w:rsidR="0002002E" w:rsidRDefault="0002002E" w:rsidP="0002002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14:paraId="24D0B621" w14:textId="4C5A3E06" w:rsidR="0002002E" w:rsidRDefault="002074EA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Společnost se zabývá výrobou polyuretanových (PUR) dílů pro automobilový průmysl, jejichž hlavními vstupními surovinami jsou izokyanáty a </w:t>
      </w:r>
      <w:proofErr w:type="spellStart"/>
      <w:r>
        <w:rPr>
          <w:rFonts w:asciiTheme="majorHAnsi" w:hAnsiTheme="majorHAnsi" w:cs="Times New Roman"/>
          <w:sz w:val="24"/>
          <w:szCs w:val="24"/>
        </w:rPr>
        <w:t>polyoly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2002E">
        <w:rPr>
          <w:rFonts w:asciiTheme="majorHAnsi" w:hAnsiTheme="majorHAnsi" w:cs="Times New Roman"/>
          <w:sz w:val="24"/>
          <w:szCs w:val="24"/>
        </w:rPr>
        <w:t>a s tím související manipulace a skladování surovin.</w:t>
      </w:r>
    </w:p>
    <w:p w14:paraId="75E7DC43" w14:textId="1D7AC869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účelem zhodnocení reálného rizika byl stanoven zdroj rizika zásobník </w:t>
      </w:r>
      <w:r w:rsidR="002074EA">
        <w:rPr>
          <w:rFonts w:asciiTheme="majorHAnsi" w:hAnsiTheme="majorHAnsi" w:cs="Times New Roman"/>
          <w:sz w:val="24"/>
          <w:szCs w:val="24"/>
        </w:rPr>
        <w:t>pro TDI (</w:t>
      </w:r>
      <w:proofErr w:type="spellStart"/>
      <w:r w:rsidR="002074EA">
        <w:rPr>
          <w:rFonts w:asciiTheme="majorHAnsi" w:hAnsiTheme="majorHAnsi" w:cs="Times New Roman"/>
          <w:sz w:val="24"/>
          <w:szCs w:val="24"/>
        </w:rPr>
        <w:t>touluendiisokyanát</w:t>
      </w:r>
      <w:proofErr w:type="spellEnd"/>
      <w:r w:rsidR="002074EA">
        <w:rPr>
          <w:rFonts w:asciiTheme="majorHAnsi" w:hAnsiTheme="majorHAnsi" w:cs="Times New Roman"/>
          <w:sz w:val="24"/>
          <w:szCs w:val="24"/>
        </w:rPr>
        <w:t>) sestávající ze tří nezávislých komor s celkovou skladovací kapacitou 73.2 t TDI.</w:t>
      </w:r>
    </w:p>
    <w:p w14:paraId="5AF9F318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1EFCA31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14:paraId="272C97EA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58"/>
        <w:gridCol w:w="4266"/>
        <w:gridCol w:w="3338"/>
      </w:tblGrid>
      <w:tr w:rsidR="0002002E" w14:paraId="2B75875D" w14:textId="77777777" w:rsidTr="003200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4E0" w14:textId="77777777" w:rsidR="0002002E" w:rsidRDefault="0002002E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068" w14:textId="77777777" w:rsidR="0002002E" w:rsidRDefault="0002002E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1984" w14:textId="77777777" w:rsidR="0002002E" w:rsidRDefault="0002002E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Možný scénář závažné havárie</w:t>
            </w:r>
          </w:p>
        </w:tc>
      </w:tr>
      <w:tr w:rsidR="0002002E" w14:paraId="0CBE3CBD" w14:textId="77777777" w:rsidTr="001D4658">
        <w:trPr>
          <w:trHeight w:val="304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3718" w14:textId="77777777" w:rsidR="0002002E" w:rsidRPr="001D4658" w:rsidRDefault="0032008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1D4658">
              <w:rPr>
                <w:rFonts w:cstheme="minorHAnsi"/>
                <w:b/>
              </w:rPr>
              <w:t>Desmodur</w:t>
            </w:r>
            <w:proofErr w:type="spellEnd"/>
            <w:r w:rsidRPr="001D4658">
              <w:rPr>
                <w:rFonts w:cstheme="minorHAnsi"/>
                <w:b/>
              </w:rPr>
              <w:t xml:space="preserve"> T 80</w:t>
            </w:r>
            <w:r w:rsidR="001D4658" w:rsidRPr="001D4658">
              <w:rPr>
                <w:rFonts w:cstheme="minorHAnsi"/>
                <w:b/>
              </w:rPr>
              <w:t xml:space="preserve"> (TDI)</w:t>
            </w:r>
          </w:p>
          <w:p w14:paraId="5B132596" w14:textId="77777777" w:rsidR="001D4658" w:rsidRPr="001D4658" w:rsidRDefault="001D4658" w:rsidP="001D46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D4658">
              <w:rPr>
                <w:rFonts w:cstheme="minorHAnsi"/>
                <w:b/>
                <w:sz w:val="20"/>
                <w:szCs w:val="20"/>
              </w:rPr>
              <w:t>2,4-diisokyanát</w:t>
            </w:r>
            <w:proofErr w:type="gramEnd"/>
            <w:r w:rsidRPr="001D4658">
              <w:rPr>
                <w:rFonts w:cstheme="minorHAnsi"/>
                <w:b/>
                <w:sz w:val="20"/>
                <w:szCs w:val="20"/>
              </w:rPr>
              <w:t>-1-</w:t>
            </w:r>
          </w:p>
          <w:p w14:paraId="0895D97E" w14:textId="77777777" w:rsidR="001D4658" w:rsidRPr="001D4658" w:rsidRDefault="001D4658" w:rsidP="001D46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D4658">
              <w:rPr>
                <w:rFonts w:cstheme="minorHAnsi"/>
                <w:b/>
                <w:sz w:val="20"/>
                <w:szCs w:val="20"/>
              </w:rPr>
              <w:t>methylbenzen</w:t>
            </w:r>
            <w:proofErr w:type="spellEnd"/>
            <w:r w:rsidRPr="001D4658">
              <w:rPr>
                <w:rFonts w:cstheme="minorHAnsi"/>
                <w:b/>
                <w:sz w:val="20"/>
                <w:szCs w:val="20"/>
              </w:rPr>
              <w:t>; 2,6-</w:t>
            </w:r>
          </w:p>
          <w:p w14:paraId="77C55CC2" w14:textId="77777777" w:rsidR="001D4658" w:rsidRPr="001D4658" w:rsidRDefault="001D4658" w:rsidP="001D46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D4658">
              <w:rPr>
                <w:rFonts w:cstheme="minorHAnsi"/>
                <w:b/>
                <w:sz w:val="20"/>
                <w:szCs w:val="20"/>
              </w:rPr>
              <w:t>diisokyanát-1-</w:t>
            </w:r>
          </w:p>
          <w:p w14:paraId="56D6CD48" w14:textId="69848233" w:rsidR="001D4658" w:rsidRDefault="001D4658" w:rsidP="001D4658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proofErr w:type="spellStart"/>
            <w:r w:rsidRPr="001D4658">
              <w:rPr>
                <w:rFonts w:cstheme="minorHAnsi"/>
                <w:b/>
                <w:sz w:val="20"/>
                <w:szCs w:val="20"/>
              </w:rPr>
              <w:t>methylbenzen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31E0" w14:textId="77777777" w:rsidR="0002002E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Akutní toxicita</w:t>
            </w:r>
          </w:p>
          <w:p w14:paraId="26BD28AE" w14:textId="7777777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Dráždivost pro kůži</w:t>
            </w:r>
          </w:p>
          <w:p w14:paraId="4D082BD4" w14:textId="7777777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Vážné poškození očí</w:t>
            </w:r>
          </w:p>
          <w:p w14:paraId="31E293EE" w14:textId="4CBCE62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Karcinogenita</w:t>
            </w:r>
          </w:p>
          <w:p w14:paraId="261EEC14" w14:textId="7777777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Toxicita pro specifické cílové orgány – jednorázová expozice</w:t>
            </w:r>
          </w:p>
          <w:p w14:paraId="02A02CDD" w14:textId="7777777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Senzibilizace dýchacích cest</w:t>
            </w:r>
          </w:p>
          <w:p w14:paraId="38D0198F" w14:textId="77777777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Senzibilizace kůže</w:t>
            </w:r>
          </w:p>
          <w:p w14:paraId="4FB1D329" w14:textId="73034656" w:rsidR="001D4658" w:rsidRDefault="001D4658" w:rsidP="005E121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Nebezpečných pro vodní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prostředí - chronicky</w:t>
            </w:r>
            <w:proofErr w:type="gram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B04C" w14:textId="3D462DAB" w:rsidR="0002002E" w:rsidRDefault="00BE73BF">
            <w:pPr>
              <w:spacing w:after="0" w:line="24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Zdrojem rizika je ISO kontejner (20 m</w:t>
            </w:r>
            <w:r>
              <w:rPr>
                <w:rFonts w:asciiTheme="majorHAnsi" w:hAnsiTheme="majorHAnsi" w:cs="Times New Roman"/>
                <w:vertAlign w:val="superscript"/>
              </w:rPr>
              <w:t>3</w:t>
            </w:r>
            <w:r>
              <w:rPr>
                <w:rFonts w:asciiTheme="majorHAnsi" w:hAnsiTheme="majorHAnsi" w:cs="Times New Roman"/>
              </w:rPr>
              <w:t>) s TDI na pozici stáčení.</w:t>
            </w:r>
          </w:p>
        </w:tc>
      </w:tr>
    </w:tbl>
    <w:p w14:paraId="42E6C6E4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2A68EC26" w14:textId="28852B23" w:rsidR="0002002E" w:rsidRDefault="0002002E" w:rsidP="0002002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 xml:space="preserve">5. </w:t>
      </w:r>
      <w:r w:rsidR="00933E42">
        <w:rPr>
          <w:rFonts w:asciiTheme="majorHAnsi" w:hAnsiTheme="majorHAnsi" w:cs="Times New Roman"/>
          <w:b/>
          <w:sz w:val="24"/>
          <w:szCs w:val="24"/>
          <w:u w:val="single"/>
        </w:rPr>
        <w:t>Výsledky analýzy rizik</w:t>
      </w:r>
    </w:p>
    <w:p w14:paraId="1638470C" w14:textId="2DCD8805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 analýzy rizik vyplývá, že pravděpodobnost havárie s možnými následky mimo území objektu je nízká a z vyhodnocení rizik lze konstatovat, že riziko plynoucí z provozované činnosti v objektu je přijatelné.</w:t>
      </w:r>
    </w:p>
    <w:p w14:paraId="40E7E1BC" w14:textId="088A3393" w:rsidR="00933E42" w:rsidRPr="00933E42" w:rsidRDefault="00933E42" w:rsidP="00933E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33E42">
        <w:rPr>
          <w:rFonts w:cstheme="minorHAnsi"/>
          <w:sz w:val="24"/>
          <w:szCs w:val="24"/>
        </w:rPr>
        <w:t xml:space="preserve">TDI je </w:t>
      </w:r>
      <w:proofErr w:type="spellStart"/>
      <w:r w:rsidRPr="00933E42">
        <w:rPr>
          <w:rFonts w:cstheme="minorHAnsi"/>
          <w:sz w:val="24"/>
          <w:szCs w:val="24"/>
        </w:rPr>
        <w:t>vysokovroucí</w:t>
      </w:r>
      <w:proofErr w:type="spellEnd"/>
      <w:r w:rsidRPr="00933E42">
        <w:rPr>
          <w:rFonts w:cstheme="minorHAnsi"/>
          <w:sz w:val="24"/>
          <w:szCs w:val="24"/>
        </w:rPr>
        <w:t xml:space="preserve"> toxickou kapalinou (bod varu 252-</w:t>
      </w:r>
      <w:proofErr w:type="gramStart"/>
      <w:r w:rsidRPr="00933E42">
        <w:rPr>
          <w:rFonts w:cstheme="minorHAnsi"/>
          <w:sz w:val="24"/>
          <w:szCs w:val="24"/>
        </w:rPr>
        <w:t>254°C</w:t>
      </w:r>
      <w:proofErr w:type="gramEnd"/>
      <w:r w:rsidRPr="00933E42">
        <w:rPr>
          <w:rFonts w:cstheme="minorHAnsi"/>
          <w:sz w:val="24"/>
          <w:szCs w:val="24"/>
        </w:rPr>
        <w:t>). Tato látka má rovněž vysoký</w:t>
      </w:r>
      <w:r>
        <w:rPr>
          <w:rFonts w:cstheme="minorHAnsi"/>
          <w:sz w:val="24"/>
          <w:szCs w:val="24"/>
        </w:rPr>
        <w:t xml:space="preserve"> </w:t>
      </w:r>
      <w:r w:rsidRPr="00933E42">
        <w:rPr>
          <w:rFonts w:cstheme="minorHAnsi"/>
          <w:sz w:val="24"/>
          <w:szCs w:val="24"/>
        </w:rPr>
        <w:t>bod vzplanutí (</w:t>
      </w:r>
      <w:proofErr w:type="gramStart"/>
      <w:r w:rsidRPr="00933E42">
        <w:rPr>
          <w:rFonts w:cstheme="minorHAnsi"/>
          <w:sz w:val="24"/>
          <w:szCs w:val="24"/>
        </w:rPr>
        <w:t>132°C</w:t>
      </w:r>
      <w:proofErr w:type="gramEnd"/>
      <w:r w:rsidRPr="00933E42">
        <w:rPr>
          <w:rFonts w:cstheme="minorHAnsi"/>
          <w:sz w:val="24"/>
          <w:szCs w:val="24"/>
        </w:rPr>
        <w:t>), takže nepředstavuje vážné nebezpečí požáru.</w:t>
      </w:r>
      <w:r w:rsidRPr="00933E42">
        <w:rPr>
          <w:rFonts w:cstheme="minorHAnsi"/>
          <w:sz w:val="24"/>
          <w:szCs w:val="24"/>
        </w:rPr>
        <w:t xml:space="preserve"> </w:t>
      </w:r>
      <w:r w:rsidRPr="00933E42">
        <w:rPr>
          <w:rFonts w:cstheme="minorHAnsi"/>
          <w:sz w:val="24"/>
          <w:szCs w:val="24"/>
        </w:rPr>
        <w:t>TDI je nebezpečný zejména při inhalačním způsobu expozice (v případě orální nebo dermální</w:t>
      </w:r>
      <w:r>
        <w:rPr>
          <w:rFonts w:cstheme="minorHAnsi"/>
          <w:sz w:val="24"/>
          <w:szCs w:val="24"/>
        </w:rPr>
        <w:t xml:space="preserve"> </w:t>
      </w:r>
      <w:r w:rsidRPr="00933E42">
        <w:rPr>
          <w:rFonts w:cstheme="minorHAnsi"/>
          <w:sz w:val="24"/>
          <w:szCs w:val="24"/>
        </w:rPr>
        <w:t>cesty expozice je méně nebezpečný). Na druhou stranu má velmi nízkou tenzi par při</w:t>
      </w:r>
      <w:r>
        <w:rPr>
          <w:rFonts w:cstheme="minorHAnsi"/>
          <w:sz w:val="24"/>
          <w:szCs w:val="24"/>
        </w:rPr>
        <w:t xml:space="preserve"> </w:t>
      </w:r>
      <w:r w:rsidRPr="00933E42">
        <w:rPr>
          <w:rFonts w:cstheme="minorHAnsi"/>
          <w:sz w:val="24"/>
          <w:szCs w:val="24"/>
        </w:rPr>
        <w:t>provozních/skladovacích teplotách, takže se velmi pomalu vypařuje.</w:t>
      </w:r>
    </w:p>
    <w:p w14:paraId="672C8AEF" w14:textId="77777777" w:rsidR="00933E42" w:rsidRDefault="00933E42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80A57A7" w14:textId="32DAE95D" w:rsidR="0002002E" w:rsidRDefault="0002002E" w:rsidP="0002002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V případě zpozorování havárie nebo úniku skladované látky ohlásit tuto skutečnost na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telefonní čísla 150 nebo 112.</w:t>
      </w:r>
    </w:p>
    <w:p w14:paraId="505AF5DE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404084E" w14:textId="77777777" w:rsidR="00933E42" w:rsidRPr="00933E42" w:rsidRDefault="0002002E" w:rsidP="0002002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33E42">
        <w:rPr>
          <w:rFonts w:asciiTheme="majorHAnsi" w:hAnsiTheme="majorHAnsi" w:cs="Times New Roman"/>
          <w:b/>
          <w:sz w:val="24"/>
          <w:szCs w:val="24"/>
          <w:u w:val="single"/>
        </w:rPr>
        <w:t xml:space="preserve">6. </w:t>
      </w:r>
      <w:r w:rsidR="00933E42" w:rsidRPr="00933E42">
        <w:rPr>
          <w:rFonts w:asciiTheme="majorHAnsi" w:hAnsiTheme="majorHAnsi" w:cs="Times New Roman"/>
          <w:b/>
          <w:sz w:val="24"/>
          <w:szCs w:val="24"/>
          <w:u w:val="single"/>
        </w:rPr>
        <w:t>Závěr:</w:t>
      </w:r>
    </w:p>
    <w:p w14:paraId="4C972721" w14:textId="7F8D8A6A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Objekt výroby </w:t>
      </w:r>
      <w:proofErr w:type="spellStart"/>
      <w:r w:rsidR="00933E42">
        <w:rPr>
          <w:rFonts w:asciiTheme="majorHAnsi" w:hAnsiTheme="majorHAnsi" w:cs="Times New Roman"/>
          <w:sz w:val="24"/>
          <w:szCs w:val="24"/>
        </w:rPr>
        <w:t>Fehrer</w:t>
      </w:r>
      <w:proofErr w:type="spellEnd"/>
      <w:r w:rsidR="00933E42">
        <w:rPr>
          <w:rFonts w:asciiTheme="majorHAnsi" w:hAnsiTheme="majorHAnsi" w:cs="Times New Roman"/>
          <w:sz w:val="24"/>
          <w:szCs w:val="24"/>
        </w:rPr>
        <w:t xml:space="preserve"> Bohemia s.r.o.</w:t>
      </w:r>
      <w:r>
        <w:rPr>
          <w:rFonts w:asciiTheme="majorHAnsi" w:hAnsiTheme="majorHAnsi" w:cs="Times New Roman"/>
          <w:sz w:val="24"/>
          <w:szCs w:val="24"/>
        </w:rPr>
        <w:t xml:space="preserve"> je pravidelně kontrolován orgány integrované inspekce (Česká inspekce životního prostředí, Krajská hygienická stanice, Hasičský záchranný sbor, Oblastní inspektorát práce, krajský úřad).</w:t>
      </w:r>
    </w:p>
    <w:p w14:paraId="5DC502E4" w14:textId="77777777" w:rsidR="0002002E" w:rsidRDefault="0002002E" w:rsidP="0002002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14:paraId="6A0CBFDD" w14:textId="77777777" w:rsidR="0002002E" w:rsidRDefault="0002002E" w:rsidP="00020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975BA" w14:textId="77777777" w:rsidR="0002002E" w:rsidRDefault="0002002E" w:rsidP="000200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1E62" w14:textId="77777777" w:rsidR="0002002E" w:rsidRDefault="0002002E" w:rsidP="000200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D18902F" w14:textId="77777777" w:rsidR="0002002E" w:rsidRDefault="0002002E" w:rsidP="000200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03B34" w14:textId="77777777" w:rsidR="0002002E" w:rsidRDefault="0002002E" w:rsidP="0002002E">
      <w:pPr>
        <w:rPr>
          <w:rFonts w:ascii="Times New Roman" w:hAnsi="Times New Roman" w:cs="Times New Roman"/>
          <w:sz w:val="24"/>
          <w:szCs w:val="24"/>
        </w:rPr>
      </w:pPr>
    </w:p>
    <w:p w14:paraId="70CC3BD0" w14:textId="77777777" w:rsidR="0002002E" w:rsidRDefault="0002002E" w:rsidP="0002002E">
      <w:pPr>
        <w:rPr>
          <w:rFonts w:ascii="Times New Roman" w:hAnsi="Times New Roman" w:cs="Times New Roman"/>
          <w:sz w:val="24"/>
          <w:szCs w:val="24"/>
        </w:rPr>
      </w:pPr>
    </w:p>
    <w:p w14:paraId="661F9990" w14:textId="77777777" w:rsidR="0002002E" w:rsidRDefault="0002002E" w:rsidP="0002002E">
      <w:pPr>
        <w:rPr>
          <w:rFonts w:ascii="Times New Roman" w:hAnsi="Times New Roman" w:cs="Times New Roman"/>
          <w:sz w:val="24"/>
          <w:szCs w:val="24"/>
        </w:rPr>
      </w:pPr>
    </w:p>
    <w:p w14:paraId="65532504" w14:textId="77777777" w:rsidR="0002002E" w:rsidRDefault="0002002E" w:rsidP="0002002E">
      <w:pPr>
        <w:rPr>
          <w:rFonts w:ascii="Times New Roman" w:hAnsi="Times New Roman" w:cs="Times New Roman"/>
          <w:sz w:val="24"/>
          <w:szCs w:val="24"/>
        </w:rPr>
      </w:pPr>
    </w:p>
    <w:p w14:paraId="71E32BAB" w14:textId="77777777" w:rsidR="004152ED" w:rsidRDefault="004152ED"/>
    <w:sectPr w:rsidR="0041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E"/>
    <w:rsid w:val="0002002E"/>
    <w:rsid w:val="001D4658"/>
    <w:rsid w:val="002074EA"/>
    <w:rsid w:val="00320086"/>
    <w:rsid w:val="004152ED"/>
    <w:rsid w:val="006007BA"/>
    <w:rsid w:val="00933E42"/>
    <w:rsid w:val="00B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D3F9"/>
  <w15:chartTrackingRefBased/>
  <w15:docId w15:val="{0D91BAF0-7827-4B26-B673-B01863A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0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02E"/>
    <w:pPr>
      <w:ind w:left="720"/>
      <w:contextualSpacing/>
    </w:pPr>
  </w:style>
  <w:style w:type="table" w:styleId="Mkatabulky">
    <w:name w:val="Table Grid"/>
    <w:basedOn w:val="Normlntabulka"/>
    <w:uiPriority w:val="59"/>
    <w:rsid w:val="00020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Svačinková Kateřina</dc:creator>
  <cp:keywords/>
  <dc:description/>
  <cp:lastModifiedBy>Svačinková Kateřina</cp:lastModifiedBy>
  <cp:revision>1</cp:revision>
  <dcterms:created xsi:type="dcterms:W3CDTF">2021-11-08T07:22:00Z</dcterms:created>
  <dcterms:modified xsi:type="dcterms:W3CDTF">2021-11-08T09:07:00Z</dcterms:modified>
</cp:coreProperties>
</file>